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pacing w:lineRule="auto" w:line="276"/>
        <w:jc w:val="right"/>
        <w:rPr/>
      </w:pPr>
      <w:r>
        <w:rPr>
          <w:rFonts w:cs="Calibri" w:ascii="Calibri" w:hAnsi="Calibri"/>
          <w:b/>
        </w:rPr>
        <w:t>Lubliniec, 30.09.2022 r.</w:t>
      </w:r>
    </w:p>
    <w:p>
      <w:pPr>
        <w:pStyle w:val="Normal"/>
        <w:widowControl/>
        <w:spacing w:lineRule="auto" w:line="276"/>
        <w:rPr/>
      </w:pPr>
      <w:r>
        <w:rPr>
          <w:rFonts w:cs="Calibri" w:ascii="Calibri" w:hAnsi="Calibri"/>
          <w:b/>
        </w:rPr>
        <w:t>Nr sprawy: ALE.2302.06.2022</w:t>
      </w:r>
    </w:p>
    <w:p>
      <w:pPr>
        <w:pStyle w:val="Normal"/>
        <w:spacing w:lineRule="auto" w:line="276" w:before="24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ZAPROSZENIE DO SKŁADANIA OFERT CENOWYCH</w:t>
      </w:r>
    </w:p>
    <w:p>
      <w:pPr>
        <w:pStyle w:val="Normal"/>
        <w:spacing w:lineRule="auto" w:line="276" w:before="240" w:after="0"/>
        <w:rPr/>
      </w:pPr>
      <w:r>
        <w:rPr>
          <w:rFonts w:cs="Calibri" w:ascii="Calibri" w:hAnsi="Calibri"/>
          <w:b/>
          <w:bCs/>
        </w:rPr>
        <w:t>Zamówienie pn.: „Dostawa artykułów elektrycznych”.</w:t>
      </w:r>
    </w:p>
    <w:p>
      <w:pPr>
        <w:pStyle w:val="Normal"/>
        <w:tabs>
          <w:tab w:val="left" w:pos="284" w:leader="none"/>
        </w:tabs>
        <w:spacing w:lineRule="auto" w:line="276" w:before="60" w:after="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Zamówienie, będące przedmiotem niniejszego zapytania ofertowego, nie dotyczy przepisów ustawy z dnia 11 września 2019 r. Prawo zamówień publicznych (t.j. Dz.U. 2021, poz. 1129 z późn. zmianami) – wartość szacunkowa netto nie przekracza 130.000,00 zł.</w:t>
      </w:r>
    </w:p>
    <w:p>
      <w:pPr>
        <w:pStyle w:val="Normal"/>
        <w:tabs>
          <w:tab w:val="left" w:pos="284" w:leader="none"/>
        </w:tabs>
        <w:spacing w:lineRule="auto" w:line="276" w:before="240" w:after="6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</w:rPr>
        <w:t>Dyrekcja Wojewódzkiego Szpitala Neuropsychiatrycznego w Lublińcu uprzejmie zaprasza do złożenia oferty cenowej na realizację w/w zadania dla potrzeb Wojewódzkiego Szpitala Neuropsychiatrycznego w Lublińcu.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Zamawiający</w:t>
      </w:r>
    </w:p>
    <w:p>
      <w:pPr>
        <w:pStyle w:val="Normal"/>
        <w:tabs>
          <w:tab w:val="left" w:pos="284" w:leader="none"/>
        </w:tabs>
        <w:spacing w:lineRule="auto" w:line="276"/>
        <w:ind w:left="35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Wojewódzki Szpital Neuropsychiatryczny im. dr. Emila Cyrana</w:t>
      </w:r>
    </w:p>
    <w:p>
      <w:pPr>
        <w:pStyle w:val="Normal"/>
        <w:tabs>
          <w:tab w:val="left" w:pos="284" w:leader="none"/>
        </w:tabs>
        <w:spacing w:lineRule="auto" w:line="276" w:before="60" w:after="0"/>
        <w:ind w:left="35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42-700 Lubliniec, ul. Grunwaldzka 48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Opis </w:t>
      </w:r>
      <w:r>
        <w:rPr>
          <w:rFonts w:cs="Calibri" w:ascii="Calibri" w:hAnsi="Calibri"/>
          <w:b/>
          <w:bCs/>
        </w:rPr>
        <w:t>przedmiotu</w:t>
      </w:r>
      <w:r>
        <w:rPr>
          <w:rFonts w:cs="Calibri" w:ascii="Calibri" w:hAnsi="Calibri"/>
          <w:b/>
        </w:rPr>
        <w:t xml:space="preserve"> zamówienia</w:t>
      </w:r>
    </w:p>
    <w:p>
      <w:pPr>
        <w:pStyle w:val="Normal"/>
        <w:numPr>
          <w:ilvl w:val="1"/>
          <w:numId w:val="1"/>
        </w:numPr>
        <w:spacing w:lineRule="auto" w:line="276"/>
        <w:ind w:left="709" w:right="-143" w:hanging="432"/>
        <w:jc w:val="both"/>
        <w:rPr/>
      </w:pPr>
      <w:r>
        <w:rPr>
          <w:rFonts w:cs="Calibri" w:ascii="Calibri" w:hAnsi="Calibri"/>
        </w:rPr>
        <w:t xml:space="preserve">Przedmiotem zamówienia jest dostawa pn.: </w:t>
      </w:r>
      <w:r>
        <w:rPr>
          <w:rFonts w:cs="Calibri" w:ascii="Calibri" w:hAnsi="Calibri"/>
          <w:b/>
        </w:rPr>
        <w:t xml:space="preserve">„Dostawa artykułów elektrycznych”. </w:t>
      </w:r>
    </w:p>
    <w:p>
      <w:pPr>
        <w:pStyle w:val="Normal"/>
        <w:numPr>
          <w:ilvl w:val="1"/>
          <w:numId w:val="1"/>
        </w:numPr>
        <w:spacing w:lineRule="auto" w:line="276"/>
        <w:ind w:left="709" w:right="-143" w:hanging="432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Szczegółowy opis przedmiotu zamówienia w formularzach asortymentowo-cenowych oraz we wzorze umowy (w załączeniu).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eastAsia="Times New Roman" w:cs="Calibri"/>
        </w:rPr>
      </w:pPr>
      <w:r>
        <w:rPr>
          <w:rFonts w:cs="Calibri" w:ascii="Calibri" w:hAnsi="Calibri"/>
          <w:b/>
          <w:bCs/>
        </w:rPr>
        <w:t>Termin wykonania zamówienia</w:t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cs="Calibri"/>
          <w:b/>
          <w:b/>
        </w:rPr>
      </w:pPr>
      <w:r>
        <w:rPr>
          <w:rFonts w:eastAsia="Times New Roman" w:cs="Calibri" w:ascii="Calibri" w:hAnsi="Calibri"/>
        </w:rPr>
        <w:t>Okres</w:t>
      </w:r>
      <w:r>
        <w:rPr>
          <w:rFonts w:cs="Calibri" w:ascii="Calibri" w:hAnsi="Calibri"/>
        </w:rPr>
        <w:t xml:space="preserve"> realizacji zamówienia </w:t>
      </w:r>
      <w:r>
        <w:rPr>
          <w:rFonts w:cs="Calibri" w:ascii="Calibri" w:hAnsi="Calibri"/>
          <w:b/>
        </w:rPr>
        <w:t xml:space="preserve">12 miesięcy </w:t>
      </w:r>
      <w:r>
        <w:rPr>
          <w:rFonts w:cs="Calibri" w:ascii="Calibri" w:hAnsi="Calibri"/>
          <w:bCs/>
        </w:rPr>
        <w:t>od dnia zawarcia Umowy.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Warunki udziału w postępowaniu oraz opis sposobu dokonywania oceny ich spełniania</w:t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eastAsia="Times New Roman" w:cs="Calibri"/>
          <w:b/>
          <w:b/>
          <w:bCs/>
        </w:rPr>
      </w:pPr>
      <w:r>
        <w:rPr>
          <w:rFonts w:cs="Calibri" w:ascii="Calibri" w:hAnsi="Calibri"/>
        </w:rPr>
        <w:t>Zamawiający nie stawia warunków udziału w postępowaniu.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</w:rPr>
      </w:pPr>
      <w:r>
        <w:rPr>
          <w:rFonts w:eastAsia="Times New Roman" w:cs="Calibri" w:ascii="Calibri" w:hAnsi="Calibri"/>
          <w:b/>
          <w:bCs/>
        </w:rPr>
        <w:t xml:space="preserve"> </w:t>
      </w:r>
      <w:r>
        <w:rPr>
          <w:rFonts w:cs="Calibri" w:ascii="Calibri" w:hAnsi="Calibri"/>
          <w:b/>
          <w:bCs/>
        </w:rPr>
        <w:t xml:space="preserve">Inne </w:t>
      </w:r>
      <w:r>
        <w:rPr>
          <w:rFonts w:cs="Calibri" w:ascii="Calibri" w:hAnsi="Calibri"/>
          <w:b/>
        </w:rPr>
        <w:t>wymagania</w:t>
      </w:r>
      <w:r>
        <w:rPr>
          <w:rFonts w:cs="Calibri" w:ascii="Calibri" w:hAnsi="Calibri"/>
          <w:b/>
          <w:bCs/>
        </w:rPr>
        <w:t xml:space="preserve"> zamawiającego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Termin płatności: do </w:t>
      </w:r>
      <w:r>
        <w:rPr>
          <w:rFonts w:cs="Calibri" w:ascii="Calibri" w:hAnsi="Calibri"/>
          <w:b/>
          <w:bCs/>
        </w:rPr>
        <w:t>60 dni</w:t>
      </w:r>
      <w:r>
        <w:rPr>
          <w:rFonts w:cs="Calibri" w:ascii="Calibri" w:hAnsi="Calibri"/>
        </w:rPr>
        <w:t xml:space="preserve"> od daty dostarczenia faktury Zamawiającemu. 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Zamawiający dopuszcza możliwość przeliczenia w formularzach cenowych ogólną ilość danego asortymentu na opakowania jednostkowe, w jakich jest on obecnie konfekcjonowany i sprzedawany, zachowując oczywiście podaną ogólną ilość. Jeżeli po przeliczeniu opakowań wychodzi liczba ułamkowa to należy zaokrąglić do pełnego opakowania w górę.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rFonts w:ascii="Calibri" w:hAnsi="Calibri" w:cs="Calibri"/>
          <w:strike/>
        </w:rPr>
      </w:pPr>
      <w:r>
        <w:rPr>
          <w:rFonts w:cs="Calibri" w:ascii="Calibri" w:hAnsi="Calibri"/>
        </w:rPr>
        <w:t>Oferta powinna zawierać:</w:t>
      </w:r>
    </w:p>
    <w:p>
      <w:pPr>
        <w:pStyle w:val="Normal"/>
        <w:widowControl/>
        <w:numPr>
          <w:ilvl w:val="1"/>
          <w:numId w:val="3"/>
        </w:numPr>
        <w:spacing w:lineRule="auto" w:line="276"/>
        <w:ind w:left="1276" w:hanging="432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formularz ofertowy,</w:t>
      </w:r>
    </w:p>
    <w:p>
      <w:pPr>
        <w:pStyle w:val="Normal"/>
        <w:widowControl/>
        <w:numPr>
          <w:ilvl w:val="1"/>
          <w:numId w:val="3"/>
        </w:numPr>
        <w:spacing w:lineRule="auto" w:line="276"/>
        <w:ind w:left="1276" w:hanging="432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formularz asortymentowo-cenowy,</w:t>
      </w:r>
    </w:p>
    <w:p>
      <w:pPr>
        <w:pStyle w:val="Normal"/>
        <w:widowControl/>
        <w:numPr>
          <w:ilvl w:val="1"/>
          <w:numId w:val="3"/>
        </w:numPr>
        <w:spacing w:lineRule="auto" w:line="276"/>
        <w:ind w:left="1276" w:hanging="432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stosowne pełnomocnictwa.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Sposób</w:t>
      </w:r>
      <w:r>
        <w:rPr>
          <w:rFonts w:cs="Calibri" w:ascii="Calibri" w:hAnsi="Calibri"/>
          <w:b/>
        </w:rPr>
        <w:t xml:space="preserve"> kontaktowania się z Zamawiającym</w:t>
      </w:r>
    </w:p>
    <w:p>
      <w:pPr>
        <w:pStyle w:val="Normal"/>
        <w:tabs>
          <w:tab w:val="left" w:pos="284" w:leader="none"/>
        </w:tabs>
        <w:spacing w:lineRule="auto" w:line="276" w:before="100" w:after="0"/>
        <w:ind w:left="357" w:hanging="0"/>
        <w:jc w:val="both"/>
        <w:rPr/>
      </w:pPr>
      <w:r>
        <w:rPr>
          <w:rFonts w:cs="Calibri" w:ascii="Calibri" w:hAnsi="Calibri"/>
        </w:rPr>
        <w:t xml:space="preserve">W razie pytań proszę kontaktować się z Panią Iwoną Jasińską </w:t>
      </w:r>
    </w:p>
    <w:p>
      <w:pPr>
        <w:pStyle w:val="Normal"/>
        <w:tabs>
          <w:tab w:val="left" w:pos="284" w:leader="none"/>
        </w:tabs>
        <w:spacing w:lineRule="auto" w:line="276"/>
        <w:ind w:left="357" w:hanging="0"/>
        <w:jc w:val="both"/>
        <w:rPr/>
      </w:pPr>
      <w:r>
        <w:rPr>
          <w:rFonts w:cs="Calibri" w:ascii="Calibri" w:hAnsi="Calibri"/>
          <w:lang w:val="en-AU"/>
        </w:rPr>
        <w:t xml:space="preserve">tel. 34/353 28 19, e-mail: </w:t>
      </w:r>
      <w:hyperlink r:id="rId2">
        <w:r>
          <w:rPr>
            <w:rStyle w:val="Czeinternetowe"/>
            <w:rFonts w:cs="Calibri" w:ascii="Calibri" w:hAnsi="Calibri"/>
            <w:lang w:val="en-AU"/>
          </w:rPr>
          <w:t>zaopatrzenie@wsnlc.pl</w:t>
        </w:r>
      </w:hyperlink>
      <w:r>
        <w:rPr>
          <w:rFonts w:cs="Calibri" w:ascii="Calibri" w:hAnsi="Calibri"/>
          <w:lang w:val="en-AU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120"/>
        <w:ind w:left="357" w:hanging="357"/>
        <w:jc w:val="both"/>
        <w:rPr/>
      </w:pPr>
      <w:r>
        <w:rPr>
          <w:rFonts w:cs="Calibri" w:ascii="Calibri" w:hAnsi="Calibri"/>
          <w:b/>
          <w:bCs/>
        </w:rPr>
        <w:t>Termin</w:t>
      </w:r>
      <w:r>
        <w:rPr>
          <w:rFonts w:cs="Calibri" w:ascii="Calibri" w:hAnsi="Calibri"/>
          <w:b/>
        </w:rPr>
        <w:t xml:space="preserve"> </w:t>
      </w:r>
      <w:r>
        <w:rPr>
          <w:rFonts w:cs="Calibri" w:ascii="Calibri" w:hAnsi="Calibri"/>
          <w:b/>
          <w:bCs/>
        </w:rPr>
        <w:t>składania</w:t>
      </w:r>
      <w:r>
        <w:rPr>
          <w:rFonts w:cs="Calibri" w:ascii="Calibri" w:hAnsi="Calibri"/>
          <w:b/>
        </w:rPr>
        <w:t xml:space="preserve"> ofert</w:t>
      </w:r>
      <w:r>
        <w:rPr>
          <w:rFonts w:cs="Calibri" w:ascii="Calibri" w:hAnsi="Calibri"/>
        </w:rPr>
        <w:t xml:space="preserve"> ustalono na</w:t>
      </w:r>
      <w:r>
        <w:rPr>
          <w:rFonts w:cs="Calibri" w:ascii="Calibri" w:hAnsi="Calibri"/>
          <w:b/>
          <w:bCs/>
        </w:rPr>
        <w:t xml:space="preserve"> 0</w:t>
      </w:r>
      <w:r>
        <w:rPr>
          <w:rFonts w:cs="Calibri" w:ascii="Calibri" w:hAnsi="Calibri"/>
          <w:b/>
          <w:bCs/>
        </w:rPr>
        <w:t>8</w:t>
      </w:r>
      <w:r>
        <w:rPr>
          <w:rFonts w:cs="Calibri" w:ascii="Calibri" w:hAnsi="Calibri"/>
          <w:b/>
          <w:bCs/>
        </w:rPr>
        <w:t xml:space="preserve">.10.2022 r. do godz. 15:00 </w:t>
      </w:r>
      <w:r>
        <w:rPr>
          <w:rFonts w:cs="Calibri" w:ascii="Calibri" w:hAnsi="Calibri"/>
          <w:i/>
          <w:iCs/>
        </w:rPr>
        <w:t>(decyduje data wpływu oferty do Zamawiającego).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Sposób złożenia oferty:</w:t>
      </w:r>
    </w:p>
    <w:p>
      <w:pPr>
        <w:pStyle w:val="Normal"/>
        <w:tabs>
          <w:tab w:val="left" w:pos="284" w:leader="none"/>
        </w:tabs>
        <w:spacing w:lineRule="auto" w:line="276"/>
        <w:ind w:left="360" w:hanging="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</w:rPr>
        <w:t>Ofertę</w:t>
      </w:r>
      <w:r>
        <w:rPr>
          <w:rFonts w:cs="Calibri" w:ascii="Calibri" w:hAnsi="Calibri"/>
          <w:bCs/>
        </w:rPr>
        <w:t xml:space="preserve"> można złożyć na podany wyżej adres mailowy w postaci elektronicznej z podpisem kwalifikowanym, zaufanym lub osobistym („e-dowód”) lub w postaci skanu</w:t>
      </w:r>
      <w:r>
        <w:rPr>
          <w:rFonts w:cs="Calibri" w:ascii="Calibri" w:hAnsi="Calibri"/>
        </w:rPr>
        <w:t>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/>
      </w:pPr>
      <w:r>
        <w:rPr>
          <w:rFonts w:cs="Calibri" w:ascii="Calibri" w:hAnsi="Calibri"/>
          <w:bCs/>
        </w:rPr>
        <w:t>Otwarcie</w:t>
      </w:r>
      <w:r>
        <w:rPr>
          <w:rFonts w:cs="Calibri" w:ascii="Calibri" w:hAnsi="Calibri"/>
        </w:rPr>
        <w:t xml:space="preserve"> ofert nastąpi w dniu </w:t>
      </w:r>
      <w:r>
        <w:rPr>
          <w:rFonts w:cs="Calibri" w:ascii="Calibri" w:hAnsi="Calibri"/>
          <w:b/>
          <w:bCs/>
        </w:rPr>
        <w:t>10</w:t>
      </w:r>
      <w:r>
        <w:rPr>
          <w:rFonts w:cs="Calibri" w:ascii="Calibri" w:hAnsi="Calibri"/>
          <w:b/>
          <w:bCs/>
        </w:rPr>
        <w:t xml:space="preserve">.10.2022 r.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Wyjaśnienie treści Zaproszenia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</w:tabs>
        <w:spacing w:lineRule="auto" w:line="276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Wykonawca może zwrócić się do Zamawiającego z wnioskiem o wyjaśnienie treści Zaproszenia </w:t>
      </w:r>
      <w:r>
        <w:rPr>
          <w:rFonts w:cs="Calibri" w:ascii="Calibri" w:hAnsi="Calibri"/>
          <w:bCs/>
          <w:szCs w:val="24"/>
        </w:rPr>
        <w:t>na podany wyżej adres mailowy</w:t>
      </w:r>
      <w:r>
        <w:rPr>
          <w:rFonts w:cs="Calibri" w:ascii="Calibri" w:hAnsi="Calibri"/>
          <w:szCs w:val="24"/>
        </w:rPr>
        <w:t>, nie później niż na 2 dni przed terminem składania ofert. Na wnioski złożone w terminie późniejszym, Zamawiający nie ma obowiązku odpowiadać.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</w:tabs>
        <w:spacing w:lineRule="auto" w:line="276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Zamawiający udzieli wyjaśnień niezwłocznie, jednak nie później niż na 1 dzień przed terminem składania ofert.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</w:tabs>
        <w:spacing w:lineRule="auto" w:line="276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Udzielone przez Zamawiającego wyjaśnienia stają się integralna częścią Zaproszenia do składania ofert.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</w:tabs>
        <w:spacing w:lineRule="auto" w:line="276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Zamawiający zastrzega sobie prawo wydłużenia terminu składania ofert o czas niezbędny do zapoznania się wszystkich zainteresowanych Wykonawców z wyjaśnieniami niezbędnymi do należytego przygotowania i złożenia ofert.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Opis </w:t>
      </w:r>
      <w:r>
        <w:rPr>
          <w:rFonts w:cs="Calibri" w:ascii="Calibri" w:hAnsi="Calibri"/>
          <w:b/>
          <w:bCs/>
        </w:rPr>
        <w:t>sposobu</w:t>
      </w:r>
      <w:r>
        <w:rPr>
          <w:rFonts w:cs="Calibri" w:ascii="Calibri" w:hAnsi="Calibri"/>
          <w:b/>
        </w:rPr>
        <w:t xml:space="preserve"> obliczania ceny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spacing w:lineRule="auto" w:line="276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Wykonawca zobowiązany jest podać na formularzu ofertowym </w:t>
      </w:r>
      <w:r>
        <w:rPr>
          <w:rFonts w:cs="Calibri" w:ascii="Calibri" w:hAnsi="Calibri"/>
          <w:i/>
          <w:szCs w:val="24"/>
        </w:rPr>
        <w:t>(załącznik do zaproszenia)</w:t>
      </w:r>
      <w:r>
        <w:rPr>
          <w:rFonts w:cs="Calibri" w:ascii="Calibri" w:hAnsi="Calibri"/>
          <w:szCs w:val="24"/>
        </w:rPr>
        <w:t xml:space="preserve"> </w:t>
      </w:r>
      <w:r>
        <w:rPr>
          <w:rFonts w:cs="Calibri" w:ascii="Calibri" w:hAnsi="Calibri"/>
          <w:b/>
          <w:bCs/>
          <w:szCs w:val="24"/>
        </w:rPr>
        <w:t>cenę brutto oferty</w:t>
      </w:r>
      <w:r>
        <w:rPr>
          <w:rFonts w:cs="Calibri" w:ascii="Calibri" w:hAnsi="Calibri"/>
          <w:szCs w:val="24"/>
        </w:rPr>
        <w:t xml:space="preserve"> (wyliczona zgodnie z kalkulacją w formularzu ofertowym), która uwzględnia wszystkie wymagania niniejszego zaproszenia oraz obejmuje wszelkie koszty, jakie poniesie Wykonawca z tytułu należytej oraz zgodnej z obowiązującymi przepisami realizacji przedmiotu zamówienia, w tym również wszelkie koszty towarzyszące wykonaniu przedmiotu zamówienia (umowy). 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spacing w:lineRule="auto" w:line="276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Skutki finansowe błędnego obliczenia ceny oferty wynikające z nieuwzględnienia wszystkich okoliczności, które mogą wpływać na cenę, ponosi Wykonawca.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spacing w:lineRule="auto" w:line="276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Cena oferty będzie określona w złotych polskich. Rozliczenia między Zamawiającym a Wykonawcą będą prowadzone wyłącznie w walucie polskiej.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Opis kryteriów, którymi zamawiający będzie się kierował przy wyborze oferty wraz z podaniem znaczenia tych kryteriów i sposobu ich oceny</w:t>
      </w:r>
    </w:p>
    <w:p>
      <w:pPr>
        <w:pStyle w:val="Normal"/>
        <w:tabs>
          <w:tab w:val="left" w:pos="284" w:leader="none"/>
        </w:tabs>
        <w:spacing w:lineRule="auto" w:line="276"/>
        <w:ind w:left="42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Oferty zostaną ocenione przez Zamawiającego w oparciu o następujące kryteria i ich znaczenie procentowe (wagę): </w:t>
      </w:r>
    </w:p>
    <w:tbl>
      <w:tblPr>
        <w:tblW w:w="8714" w:type="dxa"/>
        <w:jc w:val="left"/>
        <w:tblInd w:w="5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0"/>
        <w:gridCol w:w="1559"/>
        <w:gridCol w:w="1418"/>
        <w:gridCol w:w="3646"/>
      </w:tblGrid>
      <w:tr>
        <w:trPr>
          <w:trHeight w:val="397" w:hRule="atLeast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45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smallCaps/>
                <w:lang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smallCaps/>
                <w:lang w:eastAsia="ar-SA" w:bidi="ar-SA"/>
              </w:rPr>
              <w:t>Kryterium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45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smallCaps/>
                <w:lang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smallCaps/>
                <w:lang w:eastAsia="ar-SA" w:bidi="ar-SA"/>
              </w:rPr>
              <w:t>Symbol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45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smallCaps/>
                <w:lang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smallCaps/>
                <w:lang w:eastAsia="ar-SA" w:bidi="ar-SA"/>
              </w:rPr>
              <w:t>Waga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45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smallCaps/>
                <w:lang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smallCaps/>
                <w:lang w:eastAsia="ar-SA" w:bidi="ar-SA"/>
              </w:rPr>
              <w:t>Maksymalna ilość punktów</w:t>
            </w:r>
          </w:p>
        </w:tc>
      </w:tr>
      <w:tr>
        <w:trPr>
          <w:trHeight w:val="219" w:hRule="atLeast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pacing w:lineRule="auto" w:line="276" w:before="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pacing w:lineRule="auto" w:line="276" w:before="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100%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pacing w:lineRule="auto" w:line="276" w:before="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100</w:t>
            </w:r>
          </w:p>
        </w:tc>
      </w:tr>
    </w:tbl>
    <w:p>
      <w:pPr>
        <w:pStyle w:val="Normal"/>
        <w:spacing w:lineRule="auto" w:line="276"/>
        <w:ind w:left="567" w:hanging="142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Zasady kryterium „Cena” (C) – max 100 pkt.</w:t>
      </w:r>
      <w:r>
        <w:rPr>
          <w:rFonts w:cs="Calibri" w:ascii="Calibri" w:hAnsi="Calibri"/>
        </w:rPr>
        <w:t xml:space="preserve"> </w:t>
      </w:r>
    </w:p>
    <w:p>
      <w:pPr>
        <w:pStyle w:val="Normal"/>
        <w:spacing w:lineRule="auto" w:line="276" w:before="0" w:after="100"/>
        <w:ind w:left="42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W przypadku kryterium „Cena” oferta otrzyma zaokrągloną do dwóch miejsc po przecinku ilość punktów wynikająca z działania: </w:t>
      </w:r>
    </w:p>
    <w:p>
      <w:pPr>
        <w:pStyle w:val="Normal"/>
        <w:spacing w:lineRule="auto" w:line="276"/>
        <w:ind w:left="1134" w:hanging="0"/>
        <w:rPr>
          <w:rFonts w:ascii="Calibri" w:hAnsi="Calibri" w:cs="Calibri"/>
          <w:i/>
          <w:i/>
          <w:iCs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min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den>
        </m:f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pkt</m:t>
        </m:r>
      </m:oMath>
    </w:p>
    <w:p>
      <w:pPr>
        <w:pStyle w:val="Normal"/>
        <w:spacing w:lineRule="auto" w:line="276" w:before="120" w:after="0"/>
        <w:ind w:left="1134" w:hanging="0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 xml:space="preserve">gdzie: </w:t>
      </w:r>
    </w:p>
    <w:p>
      <w:pPr>
        <w:pStyle w:val="Normal"/>
        <w:spacing w:lineRule="auto" w:line="276"/>
        <w:ind w:left="1134" w:hanging="0"/>
        <w:rPr>
          <w:rFonts w:ascii="Calibri" w:hAnsi="Calibri" w:cs="Calibri"/>
          <w:i/>
          <w:i/>
          <w:iCs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C</m:t>
            </m:r>
          </m:e>
        </m:d>
      </m:oMath>
      <w:r>
        <w:rPr>
          <w:rFonts w:cs="Calibri" w:ascii="Calibri" w:hAnsi="Calibri"/>
          <w:i/>
          <w:iCs/>
        </w:rPr>
        <w:tab/>
        <w:t>– ilość punktów jakie otrzyma oferta badana za kryterium „Cena”</w:t>
      </w:r>
    </w:p>
    <w:p>
      <w:pPr>
        <w:pStyle w:val="Normal"/>
        <w:tabs>
          <w:tab w:val="left" w:pos="13068" w:leader="none"/>
        </w:tabs>
        <w:spacing w:lineRule="auto" w:line="276"/>
        <w:ind w:left="1134" w:hanging="0"/>
        <w:jc w:val="both"/>
        <w:rPr>
          <w:rFonts w:ascii="Calibri" w:hAnsi="Calibri" w:cs="Calibri"/>
          <w:i/>
          <w:i/>
          <w:iCs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cs="Calibri" w:ascii="Calibri" w:hAnsi="Calibri"/>
          <w:i/>
          <w:iCs/>
        </w:rPr>
        <w:t xml:space="preserve">               – </w:t>
      </w:r>
      <w:r>
        <w:rPr>
          <w:rFonts w:cs="Calibri" w:ascii="Calibri" w:hAnsi="Calibri"/>
          <w:i/>
          <w:iCs/>
        </w:rPr>
        <w:t>cena badanej ofert</w:t>
      </w:r>
    </w:p>
    <w:p>
      <w:pPr>
        <w:pStyle w:val="Normal"/>
        <w:tabs>
          <w:tab w:val="left" w:pos="13068" w:leader="none"/>
        </w:tabs>
        <w:spacing w:lineRule="auto" w:line="276"/>
        <w:ind w:left="1134" w:hanging="0"/>
        <w:jc w:val="both"/>
        <w:rPr>
          <w:rFonts w:ascii="Calibri" w:hAnsi="Calibri" w:cs="Calibri"/>
          <w:i/>
          <w:i/>
          <w:iCs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min</m:t>
            </m:r>
          </m:sub>
        </m:sSub>
      </m:oMath>
      <w:r>
        <w:rPr>
          <w:rFonts w:cs="Calibri" w:ascii="Calibri" w:hAnsi="Calibri"/>
          <w:i/>
          <w:iCs/>
        </w:rPr>
        <w:t xml:space="preserve">         – </w:t>
      </w:r>
      <w:r>
        <w:rPr>
          <w:rFonts w:cs="Calibri" w:ascii="Calibri" w:hAnsi="Calibri"/>
          <w:i/>
          <w:iCs/>
        </w:rPr>
        <w:t xml:space="preserve">najniższa cena spośród wszystkich ważnych i nieodrzuconych ofert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</w:rPr>
        <w:t>Termin</w:t>
      </w:r>
      <w:r>
        <w:rPr>
          <w:rFonts w:cs="Calibri" w:ascii="Calibri" w:hAnsi="Calibri"/>
          <w:b/>
          <w:bCs/>
        </w:rPr>
        <w:t xml:space="preserve"> związania ofertą</w:t>
      </w:r>
    </w:p>
    <w:p>
      <w:pPr>
        <w:pStyle w:val="Normal"/>
        <w:tabs>
          <w:tab w:val="left" w:pos="284" w:leader="none"/>
        </w:tabs>
        <w:spacing w:lineRule="auto" w:line="276"/>
        <w:ind w:left="35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Termin związania Wykonawcy złożoną ofertą wynosi </w:t>
      </w:r>
      <w:r>
        <w:rPr>
          <w:rFonts w:cs="Calibri" w:ascii="Calibri" w:hAnsi="Calibri"/>
          <w:b/>
          <w:bCs/>
        </w:rPr>
        <w:t>30 dni</w:t>
      </w:r>
      <w:r>
        <w:rPr>
          <w:rFonts w:cs="Calibri" w:ascii="Calibri" w:hAnsi="Calibri"/>
        </w:rPr>
        <w:t>. Bieg terminu związania ofertą rozpoczyna się w dniu terminu składania ofert.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</w:rPr>
        <w:t>Warunki</w:t>
      </w:r>
      <w:r>
        <w:rPr>
          <w:rFonts w:cs="Calibri" w:ascii="Calibri" w:hAnsi="Calibri"/>
          <w:b/>
          <w:bCs/>
        </w:rPr>
        <w:t xml:space="preserve"> istotnych zmian umowy zawartej w wyniku przeprowadzonego postępowania o udzielenie zamówienia</w:t>
      </w:r>
    </w:p>
    <w:p>
      <w:pPr>
        <w:pStyle w:val="ListParagraph"/>
        <w:numPr>
          <w:ilvl w:val="0"/>
          <w:numId w:val="4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Wybrany Wykonawca jest zobowiązany do zawarcia umowy w sprawie zamówienia publicznego na warunkach określonych we Wzorze Umowy, stanowiącym Załącznik nr 2 do Zaproszenia.</w:t>
      </w:r>
    </w:p>
    <w:p>
      <w:pPr>
        <w:pStyle w:val="ListParagraph"/>
        <w:numPr>
          <w:ilvl w:val="0"/>
          <w:numId w:val="4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Zakres świadczenia Wykonawcy wynikający z umowy jest tożsamy z jego zobowiązaniem zawartym w ofercie.</w:t>
      </w:r>
    </w:p>
    <w:p>
      <w:pPr>
        <w:pStyle w:val="ListParagraph"/>
        <w:numPr>
          <w:ilvl w:val="0"/>
          <w:numId w:val="4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Zamawiający przewiduje możliwość zmiany zawartej umowy w stosunku do treści wybranej oferty. Szczegółowy zakres zmian we wzorze Umowy.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100" w:after="0"/>
        <w:ind w:left="357" w:hanging="357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Informacje</w:t>
      </w:r>
      <w:r>
        <w:rPr>
          <w:rFonts w:cs="Calibri" w:ascii="Calibri" w:hAnsi="Calibri"/>
          <w:b/>
          <w:bCs/>
        </w:rPr>
        <w:t xml:space="preserve"> dodatkowe </w:t>
      </w:r>
    </w:p>
    <w:p>
      <w:pPr>
        <w:pStyle w:val="ListParagraph"/>
        <w:numPr>
          <w:ilvl w:val="0"/>
          <w:numId w:val="5"/>
        </w:numPr>
        <w:spacing w:lineRule="auto" w:line="276"/>
        <w:ind w:left="567" w:hanging="283"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Cs/>
          <w:szCs w:val="24"/>
          <w:lang w:eastAsia="pl-PL"/>
        </w:rPr>
        <w:t>Zamawiający zastrzega sobie prawo do zmiany postanowień Zaproszenia na każdym etapie niniejszego postępowania, do ustalonego terminu składania ofert.</w:t>
      </w:r>
    </w:p>
    <w:p>
      <w:pPr>
        <w:pStyle w:val="ListParagraph"/>
        <w:numPr>
          <w:ilvl w:val="0"/>
          <w:numId w:val="5"/>
        </w:numPr>
        <w:spacing w:lineRule="auto" w:line="276"/>
        <w:ind w:left="567" w:hanging="283"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Cs/>
          <w:szCs w:val="24"/>
          <w:lang w:eastAsia="pl-PL"/>
        </w:rPr>
        <w:t>Zamawiający nie dopuszcza składanie ofert częściowych.</w:t>
      </w:r>
    </w:p>
    <w:p>
      <w:pPr>
        <w:pStyle w:val="ListParagraph"/>
        <w:numPr>
          <w:ilvl w:val="0"/>
          <w:numId w:val="5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Cs/>
          <w:szCs w:val="24"/>
          <w:lang w:eastAsia="pl-PL"/>
        </w:rPr>
        <w:t>Zamawiający nie dopuszcza możliwości składania ofert wariantowych.</w:t>
      </w:r>
    </w:p>
    <w:p>
      <w:pPr>
        <w:pStyle w:val="ListParagraph"/>
        <w:numPr>
          <w:ilvl w:val="0"/>
          <w:numId w:val="5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eastAsia="Calibri" w:cs="Calibri" w:ascii="Calibri" w:hAnsi="Calibri"/>
          <w:szCs w:val="24"/>
          <w:lang w:eastAsia="en-US"/>
        </w:rPr>
        <w:t>W przypadku, gdy Wykonawca nie złożył wraz z ofertą wymaganego pełnomocnictwa albo złożył wadliwe pełnomocnictwo – Zamawiający może wezwać do złożenia wymaganego dokumentu w terminie przez siebie wskazanym.</w:t>
      </w:r>
    </w:p>
    <w:p>
      <w:pPr>
        <w:pStyle w:val="ListParagraph"/>
        <w:numPr>
          <w:ilvl w:val="0"/>
          <w:numId w:val="5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color w:val="000000"/>
          <w:szCs w:val="24"/>
          <w:lang w:eastAsia="pl-PL"/>
        </w:rPr>
        <w:t>Zamawiający zastrzega sobie prawo wezwania do wyjaśnień treści złożonej oferty.</w:t>
      </w:r>
    </w:p>
    <w:p>
      <w:pPr>
        <w:pStyle w:val="ListParagraph"/>
        <w:numPr>
          <w:ilvl w:val="0"/>
          <w:numId w:val="5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/>
          <w:bCs/>
          <w:szCs w:val="24"/>
        </w:rPr>
        <w:t xml:space="preserve">Zamawiający przewiduje możliwość negocjacji treści oferty. </w:t>
      </w:r>
      <w:r>
        <w:rPr>
          <w:rFonts w:cs="Calibri" w:ascii="Calibri" w:hAnsi="Calibri"/>
          <w:szCs w:val="24"/>
        </w:rPr>
        <w:t>W przypadku podjęcia decyzji o przeprowadzeniu negocjacji, Zamawiający wezwie Wykonawcę do złożenia oferty dodatkowej, która nie może przewidywać wartości mniej korzystnych niż wskazane w ofercie pierwotnej.</w:t>
      </w:r>
    </w:p>
    <w:p>
      <w:pPr>
        <w:pStyle w:val="ListParagraph"/>
        <w:numPr>
          <w:ilvl w:val="0"/>
          <w:numId w:val="5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 przypadku, gdy cena złożonej oferty przez Wykonawcę, wydaje się Zamawiającemu rażąco niska – Zamawiający może wezwać Wykonawcę w terminie przez siebie wskazanym do złożenia wyjaśnień, dotyczących ceny oferty.</w:t>
      </w:r>
    </w:p>
    <w:p>
      <w:pPr>
        <w:pStyle w:val="ListParagraph"/>
        <w:numPr>
          <w:ilvl w:val="0"/>
          <w:numId w:val="5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Cs/>
          <w:color w:val="000000"/>
          <w:szCs w:val="24"/>
          <w:lang w:eastAsia="pl-PL"/>
        </w:rPr>
        <w:t>Wykonawca jest związany ofertą do upływu terminu określonego w zaproszeniu do składania ofert. Zamawiający zastrzega sobie prawo do przedłużenia tego terminu.</w:t>
      </w:r>
    </w:p>
    <w:p>
      <w:pPr>
        <w:pStyle w:val="ListParagraph"/>
        <w:numPr>
          <w:ilvl w:val="0"/>
          <w:numId w:val="5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color w:val="000000"/>
          <w:szCs w:val="24"/>
          <w:lang w:eastAsia="pl-PL"/>
        </w:rPr>
        <w:t>Jeśli Wykonawca, którego oferta została wybrana jako najkorzystniejsza uchyla się od zawarcia umowy, Zamawiający może wybrać kolejną ofertę bez ponownej oceny ofert.</w:t>
      </w:r>
    </w:p>
    <w:p>
      <w:pPr>
        <w:pStyle w:val="ListParagraph"/>
        <w:numPr>
          <w:ilvl w:val="0"/>
          <w:numId w:val="5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Cs/>
          <w:iCs/>
          <w:color w:val="000000"/>
          <w:szCs w:val="24"/>
          <w:lang w:eastAsia="pl-PL"/>
        </w:rPr>
        <w:t>Zamawiający poprawi w ofercie: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76"/>
        <w:ind w:left="993" w:hanging="360"/>
        <w:jc w:val="both"/>
        <w:rPr>
          <w:rFonts w:ascii="Calibri" w:hAnsi="Calibri" w:cs="Calibri"/>
          <w:bCs/>
          <w:iCs/>
          <w:color w:val="000000"/>
          <w:lang w:eastAsia="pl-PL"/>
        </w:rPr>
      </w:pPr>
      <w:r>
        <w:rPr>
          <w:rFonts w:cs="Calibri" w:ascii="Calibri" w:hAnsi="Calibri"/>
          <w:bCs/>
          <w:iCs/>
          <w:color w:val="000000"/>
          <w:lang w:eastAsia="pl-PL"/>
        </w:rPr>
        <w:t>oczywiste omyłki pisarskie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76"/>
        <w:ind w:left="993" w:hanging="360"/>
        <w:jc w:val="both"/>
        <w:rPr>
          <w:rFonts w:ascii="Calibri" w:hAnsi="Calibri" w:cs="Calibri"/>
          <w:bCs/>
          <w:iCs/>
          <w:color w:val="000000"/>
          <w:lang w:eastAsia="pl-PL"/>
        </w:rPr>
      </w:pPr>
      <w:r>
        <w:rPr>
          <w:rFonts w:cs="Calibri" w:ascii="Calibri" w:hAnsi="Calibri"/>
          <w:bCs/>
          <w:iCs/>
          <w:color w:val="000000"/>
          <w:lang w:eastAsia="pl-PL"/>
        </w:rPr>
        <w:t xml:space="preserve">oczywiste omyłki rachunkowe, z uwzględnieniem konsekwencji rachunkowych dokonanych poprawek, 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76"/>
        <w:ind w:left="993" w:hanging="360"/>
        <w:jc w:val="both"/>
        <w:rPr>
          <w:rFonts w:ascii="Calibri" w:hAnsi="Calibri" w:cs="Calibri"/>
          <w:bCs/>
          <w:iCs/>
          <w:color w:val="000000"/>
          <w:lang w:eastAsia="pl-PL"/>
        </w:rPr>
      </w:pPr>
      <w:r>
        <w:rPr>
          <w:rFonts w:cs="Calibri" w:ascii="Calibri" w:hAnsi="Calibri"/>
          <w:bCs/>
          <w:iCs/>
          <w:color w:val="000000"/>
          <w:lang w:eastAsia="pl-PL"/>
        </w:rPr>
        <w:t>inne omyłki polegające na niezgodności oferty z treścią zaproszenia do składania ofert, niepowodujące istotnych zmian w treści oferty</w:t>
      </w:r>
    </w:p>
    <w:p>
      <w:pPr>
        <w:pStyle w:val="Normal"/>
        <w:spacing w:lineRule="auto" w:line="276"/>
        <w:ind w:left="993" w:hanging="0"/>
        <w:jc w:val="both"/>
        <w:rPr>
          <w:rFonts w:ascii="Calibri" w:hAnsi="Calibri" w:cs="Calibri"/>
          <w:bCs/>
          <w:iCs/>
          <w:color w:val="000000"/>
          <w:lang w:eastAsia="pl-PL"/>
        </w:rPr>
      </w:pPr>
      <w:r>
        <w:rPr>
          <w:rFonts w:cs="Calibri" w:ascii="Calibri" w:hAnsi="Calibri"/>
          <w:bCs/>
          <w:iCs/>
          <w:color w:val="000000"/>
          <w:lang w:eastAsia="pl-PL"/>
        </w:rPr>
        <w:t xml:space="preserve">- niezwłocznie zawiadamiając o tym Wykonawcę, którego oferta została poprawiona. </w:t>
      </w:r>
    </w:p>
    <w:p>
      <w:pPr>
        <w:pStyle w:val="ListParagraph"/>
        <w:numPr>
          <w:ilvl w:val="0"/>
          <w:numId w:val="5"/>
        </w:numPr>
        <w:spacing w:lineRule="auto" w:line="276"/>
        <w:ind w:left="567" w:hanging="283"/>
        <w:jc w:val="both"/>
        <w:rPr>
          <w:rFonts w:ascii="Calibri" w:hAnsi="Calibri" w:cs="Calibri"/>
          <w:bCs/>
          <w:iCs/>
          <w:color w:val="000000"/>
          <w:szCs w:val="24"/>
          <w:lang w:eastAsia="pl-PL"/>
        </w:rPr>
      </w:pPr>
      <w:r>
        <w:rPr>
          <w:rFonts w:cs="Calibri" w:ascii="Calibri" w:hAnsi="Calibri"/>
          <w:bCs/>
          <w:iCs/>
          <w:color w:val="000000"/>
          <w:szCs w:val="24"/>
          <w:lang w:eastAsia="pl-PL"/>
        </w:rPr>
        <w:t>Zamawiający zastrzega sobie prawo do odrzucenia oferty w szczególności w następujących przypadkach: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993" w:hanging="360"/>
        <w:jc w:val="both"/>
        <w:rPr>
          <w:rFonts w:ascii="Calibri" w:hAnsi="Calibri" w:cs="Calibri"/>
          <w:bCs/>
          <w:iCs/>
          <w:color w:val="000000"/>
          <w:lang w:eastAsia="pl-PL"/>
        </w:rPr>
      </w:pPr>
      <w:r>
        <w:rPr>
          <w:rFonts w:cs="Calibri" w:ascii="Calibri" w:hAnsi="Calibri"/>
          <w:bCs/>
          <w:iCs/>
          <w:color w:val="000000"/>
          <w:lang w:eastAsia="pl-PL"/>
        </w:rPr>
        <w:t>gdy jej treść nie odpowiada Zaproszeniu do składania ofert,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993" w:hanging="360"/>
        <w:jc w:val="both"/>
        <w:rPr>
          <w:rFonts w:ascii="Calibri" w:hAnsi="Calibri" w:cs="Calibri"/>
          <w:bCs/>
          <w:iCs/>
          <w:color w:val="000000"/>
          <w:lang w:eastAsia="pl-PL"/>
        </w:rPr>
      </w:pPr>
      <w:r>
        <w:rPr>
          <w:rFonts w:cs="Calibri" w:ascii="Calibri" w:hAnsi="Calibri"/>
          <w:bCs/>
          <w:iCs/>
          <w:color w:val="000000"/>
          <w:lang w:eastAsia="pl-PL"/>
        </w:rPr>
        <w:t>zawiera błędy w obliczeniu ceny,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993" w:hanging="360"/>
        <w:jc w:val="both"/>
        <w:rPr>
          <w:rFonts w:ascii="Calibri" w:hAnsi="Calibri" w:cs="Calibri"/>
          <w:bCs/>
          <w:iCs/>
          <w:color w:val="000000"/>
          <w:lang w:eastAsia="pl-PL"/>
        </w:rPr>
      </w:pPr>
      <w:r>
        <w:rPr>
          <w:rFonts w:cs="Calibri" w:ascii="Calibri" w:hAnsi="Calibri"/>
          <w:bCs/>
          <w:iCs/>
          <w:color w:val="000000"/>
          <w:lang w:eastAsia="pl-PL"/>
        </w:rPr>
        <w:t>gdy zostanie złożona po upływie wyznaczonego terminu składania ofert,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993" w:hanging="360"/>
        <w:jc w:val="both"/>
        <w:rPr>
          <w:rFonts w:ascii="Calibri" w:hAnsi="Calibri" w:cs="Calibri"/>
          <w:bCs/>
          <w:iCs/>
          <w:lang w:eastAsia="pl-PL"/>
        </w:rPr>
      </w:pPr>
      <w:r>
        <w:rPr>
          <w:rFonts w:cs="Calibri" w:ascii="Calibri" w:hAnsi="Calibri"/>
          <w:bCs/>
          <w:iCs/>
          <w:color w:val="000000"/>
          <w:lang w:eastAsia="pl-PL"/>
        </w:rPr>
        <w:t xml:space="preserve">gdy nie </w:t>
      </w:r>
      <w:r>
        <w:rPr>
          <w:rFonts w:cs="Calibri" w:ascii="Calibri" w:hAnsi="Calibri"/>
          <w:bCs/>
          <w:iCs/>
          <w:lang w:eastAsia="pl-PL"/>
        </w:rPr>
        <w:t>będzie odpowiedzi na wezwanie Zamawiającego, o którym mowa w pkt 5,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993" w:hanging="360"/>
        <w:jc w:val="both"/>
        <w:rPr>
          <w:rFonts w:ascii="Calibri" w:hAnsi="Calibri" w:cs="Calibri"/>
          <w:bCs/>
          <w:iCs/>
          <w:lang w:eastAsia="pl-PL"/>
        </w:rPr>
      </w:pPr>
      <w:r>
        <w:rPr>
          <w:rFonts w:cs="Calibri" w:ascii="Calibri" w:hAnsi="Calibri"/>
          <w:bCs/>
          <w:iCs/>
          <w:lang w:eastAsia="pl-PL"/>
        </w:rPr>
        <w:t>gdy Wykonawca w wyznaczonym terminie nie złoży wyjaśnień, o których mowa w pkt 7 bądź wyjaśnienia potwierdzą rażąco niską cenę,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993" w:hanging="360"/>
        <w:jc w:val="both"/>
        <w:rPr>
          <w:rFonts w:ascii="Calibri" w:hAnsi="Calibri" w:cs="Calibri"/>
          <w:bCs/>
          <w:iCs/>
          <w:lang w:eastAsia="pl-PL"/>
        </w:rPr>
      </w:pPr>
      <w:r>
        <w:rPr>
          <w:rFonts w:cs="Calibri" w:ascii="Calibri" w:hAnsi="Calibri"/>
          <w:bCs/>
          <w:iCs/>
          <w:lang w:eastAsia="pl-PL"/>
        </w:rPr>
        <w:t>gdy Wykonawca w terminie wskazanym przez Zamawiającego nie złoży brakującego lub wadliwego pełnomocnictwa,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993" w:hanging="360"/>
        <w:jc w:val="both"/>
        <w:rPr>
          <w:rFonts w:ascii="Calibri" w:hAnsi="Calibri" w:cs="Calibri"/>
          <w:bCs/>
          <w:iCs/>
          <w:lang w:eastAsia="pl-PL"/>
        </w:rPr>
      </w:pPr>
      <w:r>
        <w:rPr>
          <w:rFonts w:cs="Calibri" w:ascii="Calibri" w:hAnsi="Calibri"/>
          <w:bCs/>
          <w:iCs/>
          <w:lang w:eastAsia="pl-PL"/>
        </w:rPr>
        <w:t>wykonawca w terminie 3 dni od daty doręczenia zawiadomienia nie zgodził się na poprawienie omyłki, o której mowa w pkt 10 lit. c) Zaproszenia do składania ofert,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993" w:hanging="360"/>
        <w:jc w:val="both"/>
        <w:rPr>
          <w:rFonts w:ascii="Calibri" w:hAnsi="Calibri" w:cs="Calibri"/>
          <w:bCs/>
          <w:iCs/>
          <w:lang w:eastAsia="pl-PL"/>
        </w:rPr>
      </w:pPr>
      <w:r>
        <w:rPr>
          <w:rFonts w:cs="Calibri" w:ascii="Calibri" w:hAnsi="Calibri"/>
          <w:bCs/>
          <w:iCs/>
          <w:lang w:eastAsia="pl-PL"/>
        </w:rPr>
        <w:t>Wykonawca nie wyrazi zgody na przedłużenie terminu związania ofertą.</w:t>
      </w:r>
    </w:p>
    <w:p>
      <w:pPr>
        <w:pStyle w:val="ListParagraph"/>
        <w:numPr>
          <w:ilvl w:val="0"/>
          <w:numId w:val="5"/>
        </w:numPr>
        <w:spacing w:lineRule="auto" w:line="276" w:before="100" w:after="0"/>
        <w:ind w:left="567" w:hanging="283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Cs/>
          <w:szCs w:val="24"/>
          <w:lang w:eastAsia="pl-PL"/>
        </w:rPr>
        <w:t>Zamawiający może unieważnić postępowanie w szczególności, jeżeli:</w:t>
      </w:r>
    </w:p>
    <w:p>
      <w:pPr>
        <w:pStyle w:val="ListParagraph"/>
        <w:numPr>
          <w:ilvl w:val="0"/>
          <w:numId w:val="8"/>
        </w:numPr>
        <w:spacing w:lineRule="auto" w:line="276" w:before="100" w:after="0"/>
        <w:ind w:left="993" w:hanging="360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szCs w:val="24"/>
        </w:rPr>
        <w:t>nie złożono żadnej oferty niepodlegającej odrzuceniu,</w:t>
      </w:r>
    </w:p>
    <w:p>
      <w:pPr>
        <w:pStyle w:val="ListParagraph"/>
        <w:numPr>
          <w:ilvl w:val="0"/>
          <w:numId w:val="8"/>
        </w:numPr>
        <w:spacing w:lineRule="auto" w:line="276" w:before="100" w:after="0"/>
        <w:ind w:left="993" w:hanging="360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szCs w:val="24"/>
        </w:rPr>
        <w:t>cena najkorzystniejszej oferty lub cena z najniższą ceną przewyższa kwotę, jaką Zamawiający zamierza przeznaczyć na sfinansowanie zamówienia, chyba że Zamawiający może zwiększyć tę kwotę do ceny najkorzystniejszej oferty,</w:t>
      </w:r>
    </w:p>
    <w:p>
      <w:pPr>
        <w:pStyle w:val="ListParagraph"/>
        <w:numPr>
          <w:ilvl w:val="0"/>
          <w:numId w:val="8"/>
        </w:numPr>
        <w:spacing w:lineRule="auto" w:line="276" w:before="100" w:after="0"/>
        <w:ind w:left="993" w:hanging="360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szCs w:val="24"/>
        </w:rPr>
        <w:t>zostały złożone oferty dodatkowe o takiej samej cenie.</w:t>
      </w:r>
    </w:p>
    <w:p>
      <w:pPr>
        <w:pStyle w:val="ListParagraph"/>
        <w:numPr>
          <w:ilvl w:val="0"/>
          <w:numId w:val="5"/>
        </w:numPr>
        <w:spacing w:lineRule="auto" w:line="276" w:before="100" w:after="0"/>
        <w:ind w:left="567" w:hanging="424"/>
        <w:contextualSpacing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Cs/>
          <w:szCs w:val="24"/>
          <w:lang w:eastAsia="pl-PL"/>
        </w:rPr>
        <w:t>Ponadto, Zamawiający zastrzega sobie prawo do unieważnienia postępowania na każdym etapie bez podania przyczyn.</w:t>
      </w:r>
    </w:p>
    <w:p>
      <w:pPr>
        <w:pStyle w:val="ListParagraph"/>
        <w:numPr>
          <w:ilvl w:val="0"/>
          <w:numId w:val="5"/>
        </w:numPr>
        <w:spacing w:lineRule="auto" w:line="276" w:before="100" w:after="0"/>
        <w:ind w:left="567" w:hanging="424"/>
        <w:contextualSpacing/>
        <w:jc w:val="both"/>
        <w:rPr>
          <w:rFonts w:ascii="Calibri" w:hAnsi="Calibri" w:cs="Calibri"/>
          <w:bCs/>
          <w:szCs w:val="24"/>
          <w:lang w:eastAsia="pl-PL"/>
        </w:rPr>
      </w:pPr>
      <w:r>
        <w:rPr>
          <w:rFonts w:cs="Calibri" w:ascii="Calibri" w:hAnsi="Calibri"/>
          <w:bCs/>
          <w:szCs w:val="24"/>
          <w:lang w:eastAsia="pl-PL"/>
        </w:rPr>
        <w:t>Zamawiający nie przewiduje zamówień polegających na powtórzeniu podobnych dostaw.</w:t>
      </w:r>
    </w:p>
    <w:p>
      <w:pPr>
        <w:pStyle w:val="Normal"/>
        <w:tabs>
          <w:tab w:val="left" w:pos="284" w:leader="none"/>
        </w:tabs>
        <w:spacing w:lineRule="auto" w:line="276" w:before="240" w:after="0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 xml:space="preserve">Załączniki: </w:t>
      </w:r>
    </w:p>
    <w:p>
      <w:pPr>
        <w:pStyle w:val="ListParagraph"/>
        <w:numPr>
          <w:ilvl w:val="0"/>
          <w:numId w:val="2"/>
        </w:numPr>
        <w:spacing w:lineRule="auto" w:line="276" w:before="43" w:after="43"/>
        <w:ind w:left="426" w:hanging="360"/>
        <w:contextualSpacing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Formularz ofertowy – zał. nr 1</w:t>
      </w:r>
    </w:p>
    <w:p>
      <w:pPr>
        <w:pStyle w:val="ListParagraph"/>
        <w:numPr>
          <w:ilvl w:val="0"/>
          <w:numId w:val="2"/>
        </w:numPr>
        <w:spacing w:lineRule="auto" w:line="276" w:before="43" w:after="43"/>
        <w:ind w:left="426" w:hanging="360"/>
        <w:contextualSpacing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Wzór Umowy – zał. nr 2</w:t>
      </w:r>
    </w:p>
    <w:p>
      <w:pPr>
        <w:pStyle w:val="ListParagraph"/>
        <w:numPr>
          <w:ilvl w:val="0"/>
          <w:numId w:val="2"/>
        </w:numPr>
        <w:spacing w:lineRule="auto" w:line="276" w:before="43" w:after="240"/>
        <w:ind w:left="425" w:hanging="357"/>
        <w:contextualSpacing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Klauzula informacyjna – zał. nr 3</w:t>
      </w:r>
    </w:p>
    <w:p>
      <w:pPr>
        <w:pStyle w:val="Normal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1738" w:leader="dot"/>
        </w:tabs>
        <w:spacing w:before="480" w:after="0"/>
        <w:ind w:left="2693" w:hanging="0"/>
        <w:jc w:val="center"/>
        <w:rPr>
          <w:rFonts w:ascii="Calibri" w:hAnsi="Calibri" w:eastAsia="Times New Roman" w:cs="Calibri"/>
          <w:b/>
          <w:b/>
          <w:bCs/>
          <w:color w:val="000000"/>
          <w:spacing w:val="-4"/>
        </w:rPr>
      </w:pPr>
      <w:r>
        <w:rPr>
          <w:rFonts w:eastAsia="Times New Roman" w:cs="Calibri" w:ascii="Calibri" w:hAnsi="Calibri"/>
          <w:b/>
          <w:bCs/>
          <w:color w:val="000000"/>
          <w:spacing w:val="-4"/>
        </w:rPr>
        <w:t>Zastępca Dyrektora ds. administracyjno-technicznych</w:t>
      </w:r>
    </w:p>
    <w:p>
      <w:pPr>
        <w:pStyle w:val="Normal"/>
        <w:shd w:val="clear" w:color="auto" w:fill="FFFFFF"/>
        <w:tabs>
          <w:tab w:val="left" w:pos="1738" w:leader="dot"/>
        </w:tabs>
        <w:spacing w:before="0" w:after="0"/>
        <w:ind w:left="2693" w:hanging="0"/>
        <w:contextualSpacing/>
        <w:jc w:val="center"/>
        <w:rPr>
          <w:rFonts w:ascii="Calibri" w:hAnsi="Calibri" w:eastAsia="Times New Roman" w:cs="Calibri"/>
          <w:color w:val="000000"/>
          <w:spacing w:val="-4"/>
        </w:rPr>
      </w:pPr>
      <w:r>
        <w:rPr>
          <w:rFonts w:eastAsia="Times New Roman" w:cs="Calibri" w:ascii="Calibri" w:hAnsi="Calibri"/>
          <w:color w:val="000000"/>
          <w:spacing w:val="-4"/>
        </w:rPr>
        <w:t>Wojewódzkiego Szpitala Neuropsychiatrycznego</w:t>
      </w:r>
    </w:p>
    <w:p>
      <w:pPr>
        <w:pStyle w:val="Normal"/>
        <w:shd w:val="clear" w:color="auto" w:fill="FFFFFF"/>
        <w:tabs>
          <w:tab w:val="left" w:pos="1738" w:leader="dot"/>
        </w:tabs>
        <w:spacing w:before="0" w:after="0"/>
        <w:ind w:left="2693" w:hanging="0"/>
        <w:contextualSpacing/>
        <w:jc w:val="center"/>
        <w:rPr>
          <w:rFonts w:ascii="Calibri" w:hAnsi="Calibri" w:eastAsia="Times New Roman" w:cs="Calibri"/>
          <w:color w:val="000000"/>
          <w:spacing w:val="-4"/>
        </w:rPr>
      </w:pPr>
      <w:r>
        <w:rPr>
          <w:rFonts w:eastAsia="Times New Roman" w:cs="Calibri" w:ascii="Calibri" w:hAnsi="Calibri"/>
          <w:color w:val="000000"/>
          <w:spacing w:val="-4"/>
        </w:rPr>
        <w:t>im. dr. Emila Cyrana w Lublińcu</w:t>
      </w:r>
    </w:p>
    <w:p>
      <w:pPr>
        <w:pStyle w:val="Normal"/>
        <w:shd w:val="clear" w:color="auto" w:fill="FFFFFF"/>
        <w:tabs>
          <w:tab w:val="left" w:pos="1738" w:leader="dot"/>
        </w:tabs>
        <w:spacing w:before="0" w:after="0"/>
        <w:ind w:left="2693" w:hanging="0"/>
        <w:contextualSpacing/>
        <w:jc w:val="center"/>
        <w:rPr>
          <w:rFonts w:ascii="Calibri" w:hAnsi="Calibri" w:eastAsia="Times New Roman" w:cs="Calibri"/>
          <w:b/>
          <w:b/>
          <w:bCs/>
          <w:color w:val="000000"/>
          <w:spacing w:val="-4"/>
        </w:rPr>
      </w:pPr>
      <w:bookmarkStart w:id="0" w:name="_Hlk103160740"/>
      <w:bookmarkEnd w:id="0"/>
      <w:r>
        <w:rPr>
          <w:rFonts w:eastAsia="Times New Roman" w:cs="Calibri" w:ascii="Calibri" w:hAnsi="Calibri"/>
          <w:b/>
          <w:bCs/>
          <w:color w:val="000000"/>
          <w:spacing w:val="-4"/>
        </w:rPr>
        <w:t xml:space="preserve">Mirosława Rutkowska </w:t>
      </w:r>
    </w:p>
    <w:p>
      <w:pPr>
        <w:pStyle w:val="ListParagraph"/>
        <w:shd w:val="clear" w:color="auto" w:fill="FFFFFF"/>
        <w:ind w:left="4111" w:hanging="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993" w:gutter="0"/>
      <w:pgNumType w:fmt="decimal"/>
      <w:formProt w:val="false"/>
      <w:textDirection w:val="lrTb"/>
      <w:docGrid w:type="default" w:linePitch="325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Pro-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bCs/>
        <w:rFonts w:ascii="Calibri" w:hAnsi="Calibri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dstrike w:val="false"/>
        <w:strike w:val="false"/>
        <w:sz w:val="24"/>
        <w:b w:val="false"/>
        <w:szCs w:val="24"/>
        <w:rFonts w:ascii="Calibri" w:hAnsi="Calibr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dstrike w:val="false"/>
        <w:strike w:val="false"/>
        <w:i w:val="false"/>
        <w:b w:val="false"/>
        <w:iCs w:val="false"/>
        <w:bCs w:val="false"/>
        <w:rFonts w:ascii="Calibri" w:hAnsi="Calibri" w:cs="Calibri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decimal"/>
      <w:lvlText w:val="%1)"/>
      <w:lvlJc w:val="left"/>
      <w:pPr>
        <w:ind w:left="1077" w:hanging="360"/>
      </w:pPr>
      <w:rPr>
        <w:b w:val="false"/>
        <w:bCs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77" w:hanging="360"/>
      </w:pPr>
      <w:rPr>
        <w:b/>
        <w:bCs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b/>
        <w:bCs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b/>
        <w:bCs/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dstrike w:val="false"/>
        <w:strike w:val="false"/>
        <w:sz w:val="24"/>
        <w:b w:val="false"/>
        <w:szCs w:val="24"/>
        <w:rFonts w:ascii="Calibri" w:hAnsi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Normal"/>
    <w:qFormat/>
    <w:pPr>
      <w:keepNext/>
      <w:spacing w:lineRule="auto" w:line="360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b/>
    </w:rPr>
  </w:style>
  <w:style w:type="character" w:styleId="WW8Num3z1" w:customStyle="1">
    <w:name w:val="WW8Num3z1"/>
    <w:qFormat/>
    <w:rPr>
      <w:b w:val="false"/>
    </w:rPr>
  </w:style>
  <w:style w:type="character" w:styleId="WW8Num3z2" w:customStyle="1">
    <w:name w:val="WW8Num3z2"/>
    <w:qFormat/>
    <w:rPr>
      <w:rFonts w:ascii="Symbol" w:hAnsi="Symbol" w:cs="Symbol"/>
      <w:b w:val="false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OpenSymbol" w:hAnsi="OpenSymbol" w:cs="OpenSymbol"/>
    </w:rPr>
  </w:style>
  <w:style w:type="character" w:styleId="WW8Num4z0" w:customStyle="1">
    <w:name w:val="WW8Num4z0"/>
    <w:qFormat/>
    <w:rPr>
      <w:b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b/>
    </w:rPr>
  </w:style>
  <w:style w:type="character" w:styleId="WW8Num7z1" w:customStyle="1">
    <w:name w:val="WW8Num7z1"/>
    <w:qFormat/>
    <w:rPr>
      <w:b w:val="false"/>
    </w:rPr>
  </w:style>
  <w:style w:type="character" w:styleId="WW8Num7z2" w:customStyle="1">
    <w:name w:val="WW8Num7z2"/>
    <w:qFormat/>
    <w:rPr>
      <w:rFonts w:ascii="Symbol" w:hAnsi="Symbol" w:cs="Symbol"/>
      <w:b w:val="false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7z4" w:customStyle="1">
    <w:name w:val="WW8Num7z4"/>
    <w:qFormat/>
    <w:rPr>
      <w:rFonts w:ascii="OpenSymbol" w:hAnsi="OpenSymbol" w:cs="OpenSymbol"/>
    </w:rPr>
  </w:style>
  <w:style w:type="character" w:styleId="WW8Num8z0" w:customStyle="1">
    <w:name w:val="WW8Num8z0"/>
    <w:qFormat/>
    <w:rPr>
      <w:rFonts w:cs="Times New Roman"/>
      <w:b/>
      <w:bCs/>
    </w:rPr>
  </w:style>
  <w:style w:type="character" w:styleId="WW8Num8z1" w:customStyle="1">
    <w:name w:val="WW8Num8z1"/>
    <w:qFormat/>
    <w:rPr>
      <w:b w:val="false"/>
      <w:sz w:val="24"/>
      <w:szCs w:val="24"/>
    </w:rPr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b/>
    </w:rPr>
  </w:style>
  <w:style w:type="character" w:styleId="WW8Num9z1" w:customStyle="1">
    <w:name w:val="WW8Num9z1"/>
    <w:qFormat/>
    <w:rPr>
      <w:b w:val="false"/>
      <w:sz w:val="24"/>
      <w:szCs w:val="24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b/>
    </w:rPr>
  </w:style>
  <w:style w:type="character" w:styleId="WW8Num10z1" w:customStyle="1">
    <w:name w:val="WW8Num10z1"/>
    <w:qFormat/>
    <w:rPr>
      <w:b w:val="false"/>
      <w:sz w:val="24"/>
      <w:szCs w:val="24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b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b w:val="false"/>
    </w:rPr>
  </w:style>
  <w:style w:type="character" w:styleId="WW8Num14z1" w:customStyle="1">
    <w:name w:val="WW8Num14z1"/>
    <w:qFormat/>
    <w:rPr>
      <w:b w:val="false"/>
    </w:rPr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b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b w:val="false"/>
    </w:rPr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b/>
    </w:rPr>
  </w:style>
  <w:style w:type="character" w:styleId="WW8Num21z1" w:customStyle="1">
    <w:name w:val="WW8Num21z1"/>
    <w:qFormat/>
    <w:rPr>
      <w:b w:val="false"/>
      <w:sz w:val="24"/>
      <w:szCs w:val="24"/>
    </w:rPr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sz w:val="24"/>
      <w:szCs w:val="24"/>
    </w:rPr>
  </w:style>
  <w:style w:type="character" w:styleId="WW8Num24z1" w:customStyle="1">
    <w:name w:val="WW8Num24z1"/>
    <w:qFormat/>
    <w:rPr>
      <w:rFonts w:ascii="Symbol" w:hAnsi="Symbol" w:cs="Symbol"/>
    </w:rPr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b/>
    </w:rPr>
  </w:style>
  <w:style w:type="character" w:styleId="WW8Num25z1" w:customStyle="1">
    <w:name w:val="WW8Num25z1"/>
    <w:qFormat/>
    <w:rPr>
      <w:b w:val="false"/>
      <w:sz w:val="24"/>
      <w:szCs w:val="24"/>
    </w:rPr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/>
    </w:rPr>
  </w:style>
  <w:style w:type="character" w:styleId="WW8Num26z1" w:customStyle="1">
    <w:name w:val="WW8Num26z1"/>
    <w:qFormat/>
    <w:rPr>
      <w:b w:val="false"/>
      <w:sz w:val="24"/>
      <w:szCs w:val="24"/>
    </w:rPr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TekstpodstawowywcityZnak" w:customStyle="1">
    <w:name w:val="Tekst podstawowy wcięty Znak"/>
    <w:qFormat/>
    <w:rPr>
      <w:rFonts w:eastAsia="SimSun" w:cs="Mangal"/>
      <w:sz w:val="24"/>
      <w:szCs w:val="21"/>
      <w:lang w:bidi="hi-IN"/>
    </w:rPr>
  </w:style>
  <w:style w:type="character" w:styleId="B" w:customStyle="1">
    <w:name w:val="B"/>
    <w:qFormat/>
    <w:rPr>
      <w:b/>
      <w:bCs/>
    </w:rPr>
  </w:style>
  <w:style w:type="character" w:styleId="StopkaZnak" w:customStyle="1">
    <w:name w:val="Stopka Znak"/>
    <w:qFormat/>
    <w:rPr>
      <w:rFonts w:eastAsia="SimSun" w:cs="Mangal"/>
      <w:sz w:val="24"/>
      <w:szCs w:val="21"/>
      <w:lang w:bidi="hi-IN"/>
    </w:rPr>
  </w:style>
  <w:style w:type="character" w:styleId="Czeinternetowe">
    <w:name w:val="Łącze internetowe"/>
    <w:rPr>
      <w:color w:val="0000FF"/>
      <w:u w:val="single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Nagwek2Znak" w:customStyle="1">
    <w:name w:val="Nagłówek 2 Znak"/>
    <w:qFormat/>
    <w:rPr>
      <w:rFonts w:eastAsia="SimSun" w:cs="Mangal"/>
      <w:b/>
      <w:sz w:val="24"/>
      <w:szCs w:val="24"/>
      <w:lang w:bidi="hi-IN"/>
    </w:rPr>
  </w:style>
  <w:style w:type="character" w:styleId="TekstdymkaZnak" w:customStyle="1">
    <w:name w:val="Tekst dymka Znak"/>
    <w:qFormat/>
    <w:rPr>
      <w:rFonts w:ascii="Tahoma" w:hAnsi="Tahoma" w:eastAsia="SimSun" w:cs="Mangal"/>
      <w:sz w:val="16"/>
      <w:szCs w:val="14"/>
      <w:lang w:bidi="hi-IN"/>
    </w:rPr>
  </w:style>
  <w:style w:type="character" w:styleId="NagwekZnak" w:customStyle="1">
    <w:name w:val="Nagłówek Znak"/>
    <w:qFormat/>
    <w:rPr>
      <w:rFonts w:ascii="Arial" w:hAnsi="Arial" w:eastAsia="Microsoft YaHei" w:cs="Mangal"/>
      <w:sz w:val="28"/>
      <w:szCs w:val="28"/>
      <w:lang w:bidi="hi-IN"/>
    </w:rPr>
  </w:style>
  <w:style w:type="character" w:styleId="PlaceholderText">
    <w:name w:val="Placeholder Text"/>
    <w:basedOn w:val="DefaultParagraphFont"/>
    <w:uiPriority w:val="99"/>
    <w:semiHidden/>
    <w:qFormat/>
    <w:rsid w:val="006750ee"/>
    <w:rPr>
      <w:color w:val="80808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827cd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7827cd"/>
    <w:rPr>
      <w:rFonts w:eastAsia="SimSun" w:cs="Mangal"/>
      <w:sz w:val="24"/>
      <w:szCs w:val="21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6f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06f7e"/>
    <w:rPr>
      <w:rFonts w:eastAsia="SimSun" w:cs="Mangal"/>
      <w:szCs w:val="18"/>
      <w:lang w:eastAsia="zh-CN" w:bidi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06f7e"/>
    <w:rPr>
      <w:rFonts w:eastAsia="SimSun" w:cs="Mangal"/>
      <w:b/>
      <w:bCs/>
      <w:szCs w:val="18"/>
      <w:lang w:eastAsia="zh-CN" w:bidi="hi-IN"/>
    </w:rPr>
  </w:style>
  <w:style w:type="character" w:styleId="ListLabel1">
    <w:name w:val="ListLabel 1"/>
    <w:qFormat/>
    <w:rPr>
      <w:rFonts w:ascii="Calibri" w:hAnsi="Calibri" w:cs="Times New Roman"/>
      <w:b/>
      <w:bCs/>
    </w:rPr>
  </w:style>
  <w:style w:type="character" w:styleId="ListLabel2">
    <w:name w:val="ListLabel 2"/>
    <w:qFormat/>
    <w:rPr>
      <w:rFonts w:ascii="Calibri" w:hAnsi="Calibri"/>
      <w:b w:val="false"/>
      <w:strike w:val="false"/>
      <w:dstrike w:val="false"/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b w:val="false"/>
      <w:i w:val="false"/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b w:val="false"/>
      <w:bCs w:val="false"/>
      <w:i w:val="false"/>
      <w:iCs w:val="false"/>
      <w:strike w:val="false"/>
      <w:dstrike w:val="false"/>
      <w:color w:val="00000A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rFonts w:cs="Times New Roman"/>
      <w:color w:val="00000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  <w:bCs/>
      <w:position w:val="0"/>
      <w:sz w:val="24"/>
      <w:sz w:val="24"/>
      <w:vertAlign w:val="baseline"/>
    </w:rPr>
  </w:style>
  <w:style w:type="character" w:styleId="ListLabel14">
    <w:name w:val="ListLabel 14"/>
    <w:qFormat/>
    <w:rPr>
      <w:position w:val="0"/>
      <w:sz w:val="24"/>
      <w:sz w:val="24"/>
      <w:vertAlign w:val="baseline"/>
    </w:rPr>
  </w:style>
  <w:style w:type="character" w:styleId="ListLabel15">
    <w:name w:val="ListLabel 15"/>
    <w:qFormat/>
    <w:rPr>
      <w:position w:val="0"/>
      <w:sz w:val="24"/>
      <w:sz w:val="24"/>
      <w:vertAlign w:val="baseline"/>
    </w:rPr>
  </w:style>
  <w:style w:type="character" w:styleId="ListLabel16">
    <w:name w:val="ListLabel 16"/>
    <w:qFormat/>
    <w:rPr>
      <w:position w:val="0"/>
      <w:sz w:val="24"/>
      <w:sz w:val="24"/>
      <w:vertAlign w:val="baseline"/>
    </w:rPr>
  </w:style>
  <w:style w:type="character" w:styleId="ListLabel17">
    <w:name w:val="ListLabel 17"/>
    <w:qFormat/>
    <w:rPr>
      <w:position w:val="0"/>
      <w:sz w:val="24"/>
      <w:sz w:val="24"/>
      <w:vertAlign w:val="baseline"/>
    </w:rPr>
  </w:style>
  <w:style w:type="character" w:styleId="ListLabel18">
    <w:name w:val="ListLabel 18"/>
    <w:qFormat/>
    <w:rPr>
      <w:position w:val="0"/>
      <w:sz w:val="24"/>
      <w:sz w:val="24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4"/>
      <w:sz w:val="24"/>
      <w:vertAlign w:val="baseline"/>
    </w:rPr>
  </w:style>
  <w:style w:type="character" w:styleId="ListLabel21">
    <w:name w:val="ListLabel 21"/>
    <w:qFormat/>
    <w:rPr>
      <w:position w:val="0"/>
      <w:sz w:val="24"/>
      <w:sz w:val="24"/>
      <w:vertAlign w:val="baseline"/>
    </w:rPr>
  </w:style>
  <w:style w:type="character" w:styleId="ListLabel22">
    <w:name w:val="ListLabel 22"/>
    <w:qFormat/>
    <w:rPr>
      <w:b w:val="false"/>
      <w:bCs/>
      <w:position w:val="0"/>
      <w:sz w:val="24"/>
      <w:sz w:val="24"/>
      <w:vertAlign w:val="baseline"/>
    </w:rPr>
  </w:style>
  <w:style w:type="character" w:styleId="ListLabel23">
    <w:name w:val="ListLabel 23"/>
    <w:qFormat/>
    <w:rPr>
      <w:position w:val="0"/>
      <w:sz w:val="24"/>
      <w:sz w:val="24"/>
      <w:vertAlign w:val="baseline"/>
    </w:rPr>
  </w:style>
  <w:style w:type="character" w:styleId="ListLabel24">
    <w:name w:val="ListLabel 24"/>
    <w:qFormat/>
    <w:rPr>
      <w:position w:val="0"/>
      <w:sz w:val="24"/>
      <w:sz w:val="24"/>
      <w:vertAlign w:val="baseline"/>
    </w:rPr>
  </w:style>
  <w:style w:type="character" w:styleId="ListLabel25">
    <w:name w:val="ListLabel 25"/>
    <w:qFormat/>
    <w:rPr>
      <w:position w:val="0"/>
      <w:sz w:val="24"/>
      <w:sz w:val="24"/>
      <w:vertAlign w:val="baseline"/>
    </w:rPr>
  </w:style>
  <w:style w:type="character" w:styleId="ListLabel26">
    <w:name w:val="ListLabel 26"/>
    <w:qFormat/>
    <w:rPr>
      <w:position w:val="0"/>
      <w:sz w:val="24"/>
      <w:sz w:val="24"/>
      <w:vertAlign w:val="baseline"/>
    </w:rPr>
  </w:style>
  <w:style w:type="character" w:styleId="ListLabel27">
    <w:name w:val="ListLabel 27"/>
    <w:qFormat/>
    <w:rPr>
      <w:position w:val="0"/>
      <w:sz w:val="24"/>
      <w:sz w:val="24"/>
      <w:vertAlign w:val="baseline"/>
    </w:rPr>
  </w:style>
  <w:style w:type="character" w:styleId="ListLabel28">
    <w:name w:val="ListLabel 28"/>
    <w:qFormat/>
    <w:rPr>
      <w:position w:val="0"/>
      <w:sz w:val="24"/>
      <w:sz w:val="24"/>
      <w:vertAlign w:val="baseline"/>
    </w:rPr>
  </w:style>
  <w:style w:type="character" w:styleId="ListLabel29">
    <w:name w:val="ListLabel 29"/>
    <w:qFormat/>
    <w:rPr>
      <w:position w:val="0"/>
      <w:sz w:val="24"/>
      <w:sz w:val="24"/>
      <w:vertAlign w:val="baseline"/>
    </w:rPr>
  </w:style>
  <w:style w:type="character" w:styleId="ListLabel30">
    <w:name w:val="ListLabel 30"/>
    <w:qFormat/>
    <w:rPr>
      <w:position w:val="0"/>
      <w:sz w:val="24"/>
      <w:sz w:val="24"/>
      <w:vertAlign w:val="baseline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rFonts w:cs="Calibri"/>
      <w:b w:val="false"/>
      <w:bCs w:val="false"/>
      <w:i w:val="false"/>
      <w:iCs w:val="false"/>
      <w:strike w:val="false"/>
      <w:dstrike w:val="false"/>
      <w:color w:val="00000A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rFonts w:ascii="Calibri" w:hAnsi="Calibri" w:cs="Calibri"/>
      <w:b w:val="false"/>
      <w:bCs w:val="false"/>
      <w:i w:val="false"/>
      <w:iCs w:val="false"/>
      <w:strike w:val="false"/>
      <w:dstrike w:val="false"/>
      <w:color w:val="00000A"/>
    </w:rPr>
  </w:style>
  <w:style w:type="character" w:styleId="ListLabel35">
    <w:name w:val="ListLabel 35"/>
    <w:qFormat/>
    <w:rPr>
      <w:rFonts w:cs="Times New Roman"/>
      <w:b/>
      <w:bCs/>
    </w:rPr>
  </w:style>
  <w:style w:type="character" w:styleId="ListLabel36">
    <w:name w:val="ListLabel 36"/>
    <w:qFormat/>
    <w:rPr>
      <w:b w:val="false"/>
      <w:strike w:val="false"/>
      <w:dstrike w:val="false"/>
      <w:sz w:val="24"/>
      <w:szCs w:val="24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b w:val="false"/>
      <w:strike w:val="false"/>
      <w:dstrike w:val="false"/>
      <w:sz w:val="24"/>
      <w:szCs w:val="2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rFonts w:cs="Calibri"/>
      <w:b w:val="false"/>
      <w:bCs w:val="false"/>
      <w:i w:val="false"/>
      <w:iCs w:val="false"/>
      <w:strike w:val="false"/>
      <w:dstrike w:val="false"/>
      <w:color w:val="00000A"/>
    </w:rPr>
  </w:style>
  <w:style w:type="character" w:styleId="ListLabel47">
    <w:name w:val="ListLabel 47"/>
    <w:qFormat/>
    <w:rPr>
      <w:rFonts w:cs="Times New Roman"/>
      <w:b/>
      <w:bCs/>
    </w:rPr>
  </w:style>
  <w:style w:type="character" w:styleId="ListLabel48">
    <w:name w:val="ListLabel 48"/>
    <w:qFormat/>
    <w:rPr>
      <w:b w:val="false"/>
      <w:strike w:val="false"/>
      <w:dstrike w:val="false"/>
      <w:sz w:val="24"/>
      <w:szCs w:val="24"/>
      <w:u w:val="none"/>
      <w:effect w:val="none"/>
    </w:rPr>
  </w:style>
  <w:style w:type="character" w:styleId="ListLabel49">
    <w:name w:val="ListLabel 49"/>
    <w:qFormat/>
    <w:rPr>
      <w:rFonts w:ascii="Calibri" w:hAnsi="Calibri"/>
      <w:b w:val="false"/>
      <w:bCs w:val="false"/>
    </w:rPr>
  </w:style>
  <w:style w:type="character" w:styleId="ListLabel50">
    <w:name w:val="ListLabel 50"/>
    <w:qFormat/>
    <w:rPr>
      <w:rFonts w:ascii="Calibri" w:hAnsi="Calibri"/>
      <w:b/>
      <w:bCs w:val="false"/>
    </w:rPr>
  </w:style>
  <w:style w:type="character" w:styleId="ListLabel51">
    <w:name w:val="ListLabel 51"/>
    <w:qFormat/>
    <w:rPr>
      <w:rFonts w:ascii="Calibri" w:hAnsi="Calibri"/>
      <w:b/>
      <w:bCs w:val="false"/>
    </w:rPr>
  </w:style>
  <w:style w:type="character" w:styleId="ListLabel52">
    <w:name w:val="ListLabel 52"/>
    <w:qFormat/>
    <w:rPr>
      <w:rFonts w:cs="Times New Roman"/>
      <w:b/>
      <w:bCs/>
    </w:rPr>
  </w:style>
  <w:style w:type="character" w:styleId="ListLabel53">
    <w:name w:val="ListLabel 53"/>
    <w:qFormat/>
    <w:rPr>
      <w:rFonts w:ascii="Calibri" w:hAnsi="Calibri"/>
      <w:b w:val="false"/>
      <w:strike w:val="false"/>
      <w:dstrike w:val="false"/>
      <w:sz w:val="24"/>
      <w:szCs w:val="24"/>
    </w:rPr>
  </w:style>
  <w:style w:type="character" w:styleId="ListLabel54">
    <w:name w:val="ListLabel 54"/>
    <w:qFormat/>
    <w:rPr>
      <w:rFonts w:ascii="Calibri" w:hAnsi="Calibri" w:cs="Times New Roman"/>
      <w:b/>
      <w:bCs/>
    </w:rPr>
  </w:style>
  <w:style w:type="character" w:styleId="ListLabel55">
    <w:name w:val="ListLabel 55"/>
    <w:qFormat/>
    <w:rPr>
      <w:rFonts w:ascii="Calibri" w:hAnsi="Calibri"/>
      <w:b w:val="false"/>
      <w:strike w:val="false"/>
      <w:dstrike w:val="false"/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rFonts w:ascii="Calibri" w:hAnsi="Calibri" w:cs="Calibri"/>
      <w:b w:val="false"/>
      <w:bCs w:val="false"/>
      <w:i w:val="false"/>
      <w:iCs w:val="false"/>
      <w:strike w:val="false"/>
      <w:dstrike w:val="false"/>
      <w:color w:val="00000A"/>
    </w:rPr>
  </w:style>
  <w:style w:type="character" w:styleId="ListLabel58">
    <w:name w:val="ListLabel 58"/>
    <w:qFormat/>
    <w:rPr>
      <w:rFonts w:ascii="Calibri" w:hAnsi="Calibri"/>
      <w:b w:val="false"/>
      <w:bCs w:val="false"/>
    </w:rPr>
  </w:style>
  <w:style w:type="character" w:styleId="ListLabel59">
    <w:name w:val="ListLabel 59"/>
    <w:qFormat/>
    <w:rPr>
      <w:rFonts w:ascii="Calibri" w:hAnsi="Calibri"/>
      <w:b/>
      <w:bCs w:val="false"/>
    </w:rPr>
  </w:style>
  <w:style w:type="character" w:styleId="ListLabel60">
    <w:name w:val="ListLabel 60"/>
    <w:qFormat/>
    <w:rPr>
      <w:rFonts w:ascii="Calibri" w:hAnsi="Calibri"/>
      <w:b/>
      <w:bCs w:val="false"/>
    </w:rPr>
  </w:style>
  <w:style w:type="character" w:styleId="ListLabel61">
    <w:name w:val="ListLabel 61"/>
    <w:qFormat/>
    <w:rPr>
      <w:rFonts w:cs="Times New Roman"/>
      <w:b/>
      <w:bCs/>
    </w:rPr>
  </w:style>
  <w:style w:type="character" w:styleId="ListLabel62">
    <w:name w:val="ListLabel 62"/>
    <w:qFormat/>
    <w:rPr>
      <w:rFonts w:ascii="Calibri" w:hAnsi="Calibri"/>
      <w:b w:val="false"/>
      <w:strike w:val="false"/>
      <w:dstrike w:val="false"/>
      <w:sz w:val="24"/>
      <w:szCs w:val="24"/>
    </w:rPr>
  </w:style>
  <w:style w:type="character" w:styleId="ListLabel63">
    <w:name w:val="ListLabel 63"/>
    <w:qFormat/>
    <w:rPr>
      <w:rFonts w:ascii="Calibri" w:hAnsi="Calibri" w:cs="Times New Roman"/>
      <w:b/>
      <w:bCs/>
    </w:rPr>
  </w:style>
  <w:style w:type="character" w:styleId="ListLabel64">
    <w:name w:val="ListLabel 64"/>
    <w:qFormat/>
    <w:rPr>
      <w:rFonts w:ascii="Calibri" w:hAnsi="Calibri"/>
      <w:b w:val="false"/>
      <w:strike w:val="false"/>
      <w:dstrike w:val="false"/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Calibri" w:hAnsi="Calibri" w:cs="Calibri"/>
      <w:b w:val="false"/>
      <w:bCs w:val="false"/>
      <w:i w:val="false"/>
      <w:iCs w:val="false"/>
      <w:strike w:val="false"/>
      <w:dstrike w:val="false"/>
      <w:color w:val="00000A"/>
    </w:rPr>
  </w:style>
  <w:style w:type="character" w:styleId="ListLabel67">
    <w:name w:val="ListLabel 67"/>
    <w:qFormat/>
    <w:rPr>
      <w:rFonts w:ascii="Calibri" w:hAnsi="Calibri"/>
      <w:b w:val="false"/>
      <w:bCs w:val="false"/>
    </w:rPr>
  </w:style>
  <w:style w:type="character" w:styleId="ListLabel68">
    <w:name w:val="ListLabel 68"/>
    <w:qFormat/>
    <w:rPr>
      <w:rFonts w:ascii="Calibri" w:hAnsi="Calibri"/>
      <w:b/>
      <w:bCs w:val="false"/>
    </w:rPr>
  </w:style>
  <w:style w:type="character" w:styleId="ListLabel69">
    <w:name w:val="ListLabel 69"/>
    <w:qFormat/>
    <w:rPr>
      <w:rFonts w:ascii="Calibri" w:hAnsi="Calibri"/>
      <w:b/>
      <w:bCs w:val="false"/>
    </w:rPr>
  </w:style>
  <w:style w:type="character" w:styleId="ListLabel70">
    <w:name w:val="ListLabel 70"/>
    <w:qFormat/>
    <w:rPr>
      <w:rFonts w:cs="Times New Roman"/>
      <w:b/>
      <w:bCs/>
    </w:rPr>
  </w:style>
  <w:style w:type="character" w:styleId="ListLabel71">
    <w:name w:val="ListLabel 71"/>
    <w:qFormat/>
    <w:rPr>
      <w:rFonts w:ascii="Calibri" w:hAnsi="Calibri"/>
      <w:b w:val="false"/>
      <w:strike w:val="false"/>
      <w:dstrike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  <w:spacing w:before="0" w:after="120"/>
      <w:textAlignment w:val="baseline"/>
    </w:pPr>
    <w:rPr>
      <w:rFonts w:eastAsia="Lucida Sans Unicode" w:cs="Tahoma"/>
      <w:lang w:bidi="ar-SA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cicietrecitekstu">
    <w:name w:val="Wcięcie treści tekstu"/>
    <w:basedOn w:val="Normal"/>
    <w:pPr>
      <w:spacing w:before="0" w:after="120"/>
      <w:ind w:left="283" w:hanging="0"/>
    </w:pPr>
    <w:rPr>
      <w:szCs w:val="21"/>
    </w:rPr>
  </w:style>
  <w:style w:type="paragraph" w:styleId="Zaltext" w:customStyle="1">
    <w:name w:val="Zal-text"/>
    <w:basedOn w:val="Normal"/>
    <w:qFormat/>
    <w:pPr>
      <w:tabs>
        <w:tab w:val="right" w:pos="9073" w:leader="dot"/>
      </w:tabs>
      <w:spacing w:lineRule="atLeast" w:line="320" w:before="85" w:after="85"/>
      <w:ind w:left="57" w:right="57" w:hanging="0"/>
      <w:jc w:val="both"/>
      <w:textAlignment w:val="center"/>
    </w:pPr>
    <w:rPr>
      <w:rFonts w:ascii="MyriadPro-Regular" w:hAnsi="MyriadPro-Regular" w:eastAsia="MyriadPro-Regular" w:cs="MyriadPro-Regular"/>
      <w:color w:val="000000"/>
      <w:sz w:val="22"/>
      <w:szCs w:val="22"/>
      <w:lang w:bidi="ar-SA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00000A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8f5acc"/>
    <w:pPr>
      <w:spacing w:before="0" w:after="0"/>
      <w:ind w:left="720" w:hanging="0"/>
      <w:contextualSpacing/>
    </w:pPr>
    <w:rPr>
      <w:szCs w:val="21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06f7e"/>
    <w:pPr/>
    <w:rPr>
      <w:sz w:val="20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06f7e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p@wsnlc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LibreOffice/5.1.1.3$Windows_X86_64 LibreOffice_project/89f508ef3ecebd2cfb8e1def0f0ba9a803b88a6d</Application>
  <Pages>4</Pages>
  <Words>1142</Words>
  <Characters>7429</Characters>
  <CharactersWithSpaces>8461</CharactersWithSpaces>
  <Paragraphs>101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2022-08-12T09:44:00Z</dcterms:created>
  <dc:creator>Użytkownik</dc:creator>
  <dc:description/>
  <dc:language>pl-PL</dc:language>
  <cp:lastModifiedBy/>
  <dcterms:modified xsi:type="dcterms:W3CDTF">2022-10-03T11:52:29Z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